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1F7E2" w14:textId="77777777" w:rsidR="00AC565E" w:rsidRPr="00AC565E" w:rsidRDefault="00AC565E" w:rsidP="00AC565E">
      <w:pPr>
        <w:spacing w:after="225" w:line="414" w:lineRule="atLeast"/>
        <w:textAlignment w:val="top"/>
        <w:outlineLvl w:val="1"/>
        <w:rPr>
          <w:rFonts w:ascii="Arial" w:eastAsia="Times New Roman" w:hAnsi="Arial" w:cs="Arial"/>
          <w:b/>
          <w:bCs/>
          <w:color w:val="ED0678"/>
          <w:sz w:val="35"/>
          <w:szCs w:val="35"/>
        </w:rPr>
      </w:pPr>
      <w:r w:rsidRPr="00AC565E">
        <w:rPr>
          <w:rFonts w:ascii="Arial" w:eastAsia="Times New Roman" w:hAnsi="Arial" w:cs="Arial"/>
          <w:b/>
          <w:bCs/>
          <w:color w:val="ED0678"/>
          <w:sz w:val="35"/>
          <w:szCs w:val="35"/>
        </w:rPr>
        <w:t>Tiêu chí xét chọn đối tượng nhận Học bổng Nguyễn Sinh Sắc</w:t>
      </w:r>
    </w:p>
    <w:p w14:paraId="08EF63BC" w14:textId="77777777" w:rsidR="00AC565E" w:rsidRPr="00AC565E" w:rsidRDefault="00AC565E" w:rsidP="00AC565E">
      <w:pPr>
        <w:spacing w:after="225" w:line="315" w:lineRule="atLeast"/>
        <w:textAlignment w:val="top"/>
        <w:rPr>
          <w:rFonts w:ascii="Arial" w:eastAsia="Times New Roman" w:hAnsi="Arial" w:cs="Arial"/>
          <w:b/>
          <w:bCs/>
          <w:color w:val="3B3B3B"/>
          <w:sz w:val="21"/>
          <w:szCs w:val="21"/>
          <w:bdr w:val="none" w:sz="0" w:space="0" w:color="auto" w:frame="1"/>
        </w:rPr>
      </w:pPr>
      <w:r w:rsidRPr="00AC565E">
        <w:rPr>
          <w:rFonts w:ascii="Arial" w:eastAsia="Times New Roman" w:hAnsi="Arial" w:cs="Arial"/>
          <w:b/>
          <w:bCs/>
          <w:color w:val="3B3B3B"/>
          <w:sz w:val="21"/>
          <w:szCs w:val="21"/>
          <w:bdr w:val="none" w:sz="0" w:space="0" w:color="auto" w:frame="1"/>
        </w:rPr>
        <w:t>Tiêu chí xét chọn đối tượng nhận Học bổng Nguyễn Sinh Sắc </w:t>
      </w:r>
    </w:p>
    <w:p w14:paraId="62D1D379"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Căn cứ Điều lệ và Quy chế hoạt động của Hội đồng quản lý Quỹ Khuyến học Nguyễn Sinh Sắc; biên bản họp Ban Vận động và Hội đồng Quản lý Quỹ Khuyến học Nguyễn Sinh Sắc ngày 25 tháng 10 năm 2023;        Hội đồng Quản lý Quỹ Khuyến học Nguyễn Sinh Sắc hướng dẫn xét chọn các đối tượng nhận học bổng Nguyễn Sinh Sắc và tham gia Chương trình học bổng chuyên đề do Quỹ Khuyến học Nguyễn Sinh Sắc phối hợp tài trợ, cụ thể như sau:</w:t>
      </w:r>
    </w:p>
    <w:p w14:paraId="26AAC14B"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color w:val="3B3B3B"/>
          <w:sz w:val="28"/>
          <w:szCs w:val="28"/>
          <w:bdr w:val="none" w:sz="0" w:space="0" w:color="auto" w:frame="1"/>
        </w:rPr>
        <w:t>Về Học bổng Nguyễn Sinh Sắc:</w:t>
      </w:r>
      <w:r w:rsidRPr="00AC565E">
        <w:rPr>
          <w:rFonts w:ascii="Times New Roman" w:eastAsia="Times New Roman" w:hAnsi="Times New Roman" w:cs="Times New Roman"/>
          <w:color w:val="3B3B3B"/>
          <w:sz w:val="28"/>
          <w:szCs w:val="28"/>
          <w:bdr w:val="none" w:sz="0" w:space="0" w:color="auto" w:frame="1"/>
        </w:rPr>
        <w:t> Học bổng được xét cấp cho các sinh viên Cao đẳng, Đại học trong và ngoài Tỉnh (kể cả sinh viên ngoài công lập), học viên Trung cấp nghề trong Tỉnh là con của </w:t>
      </w:r>
      <w:r w:rsidRPr="00AC565E">
        <w:rPr>
          <w:rFonts w:ascii="Times New Roman" w:eastAsia="Times New Roman" w:hAnsi="Times New Roman" w:cs="Times New Roman"/>
          <w:b/>
          <w:bCs/>
          <w:color w:val="3B3B3B"/>
          <w:sz w:val="28"/>
          <w:szCs w:val="28"/>
          <w:bdr w:val="none" w:sz="0" w:space="0" w:color="auto" w:frame="1"/>
        </w:rPr>
        <w:t>hộ nghèo, hộ cận nghèo</w:t>
      </w:r>
      <w:r w:rsidRPr="00AC565E">
        <w:rPr>
          <w:rFonts w:ascii="Times New Roman" w:eastAsia="Times New Roman" w:hAnsi="Times New Roman" w:cs="Times New Roman"/>
          <w:color w:val="3B3B3B"/>
          <w:sz w:val="28"/>
          <w:szCs w:val="28"/>
          <w:bdr w:val="none" w:sz="0" w:space="0" w:color="auto" w:frame="1"/>
        </w:rPr>
        <w:t> học khá, giỏi và được tiếp tục xét cấp học bổng khi kết quả học tập đạt từ trung bình khá trở lên của những năm học sau cho đến khi tốt nghiệp. Học bổng cấp đột xuất cho học sinh, sinh viên hoàn cảnh đặc biệt khó khăn và học bổng cấp theo yêu cầu của đơn vị tài trợ (học bổng có địa chỉ). </w:t>
      </w:r>
      <w:r w:rsidRPr="00AC565E">
        <w:rPr>
          <w:rFonts w:ascii="Times New Roman" w:eastAsia="Times New Roman" w:hAnsi="Times New Roman" w:cs="Times New Roman"/>
          <w:b/>
          <w:bCs/>
          <w:i/>
          <w:iCs/>
          <w:color w:val="3B3B3B"/>
          <w:sz w:val="28"/>
          <w:szCs w:val="28"/>
          <w:bdr w:val="none" w:sz="0" w:space="0" w:color="auto" w:frame="1"/>
        </w:rPr>
        <w:t>Tiêu chí xét cấp học bổng: </w:t>
      </w:r>
      <w:r w:rsidRPr="00AC565E">
        <w:rPr>
          <w:rFonts w:ascii="Times New Roman" w:eastAsia="Times New Roman" w:hAnsi="Times New Roman" w:cs="Times New Roman"/>
          <w:color w:val="3B3B3B"/>
          <w:sz w:val="28"/>
          <w:szCs w:val="28"/>
          <w:bdr w:val="none" w:sz="0" w:space="0" w:color="auto" w:frame="1"/>
        </w:rPr>
        <w:t>Học sinh, sinh viên có hộ khẩu thường trú tại tỉnh Đồng Tháp; Thuộc </w:t>
      </w:r>
      <w:r w:rsidRPr="00AC565E">
        <w:rPr>
          <w:rFonts w:ascii="Times New Roman" w:eastAsia="Times New Roman" w:hAnsi="Times New Roman" w:cs="Times New Roman"/>
          <w:b/>
          <w:bCs/>
          <w:color w:val="3B3B3B"/>
          <w:sz w:val="28"/>
          <w:szCs w:val="28"/>
          <w:bdr w:val="none" w:sz="0" w:space="0" w:color="auto" w:frame="1"/>
        </w:rPr>
        <w:t>hộ nghèo</w:t>
      </w:r>
      <w:r w:rsidRPr="00AC565E">
        <w:rPr>
          <w:rFonts w:ascii="Times New Roman" w:eastAsia="Times New Roman" w:hAnsi="Times New Roman" w:cs="Times New Roman"/>
          <w:color w:val="3B3B3B"/>
          <w:sz w:val="28"/>
          <w:szCs w:val="28"/>
          <w:bdr w:val="none" w:sz="0" w:space="0" w:color="auto" w:frame="1"/>
        </w:rPr>
        <w:t>, </w:t>
      </w:r>
      <w:r w:rsidRPr="00AC565E">
        <w:rPr>
          <w:rFonts w:ascii="Times New Roman" w:eastAsia="Times New Roman" w:hAnsi="Times New Roman" w:cs="Times New Roman"/>
          <w:b/>
          <w:bCs/>
          <w:color w:val="3B3B3B"/>
          <w:sz w:val="28"/>
          <w:szCs w:val="28"/>
          <w:bdr w:val="none" w:sz="0" w:space="0" w:color="auto" w:frame="1"/>
        </w:rPr>
        <w:t>hộ cận nghèo</w:t>
      </w:r>
      <w:r w:rsidRPr="00AC565E">
        <w:rPr>
          <w:rFonts w:ascii="Times New Roman" w:eastAsia="Times New Roman" w:hAnsi="Times New Roman" w:cs="Times New Roman"/>
          <w:color w:val="3B3B3B"/>
          <w:sz w:val="28"/>
          <w:szCs w:val="28"/>
          <w:bdr w:val="none" w:sz="0" w:space="0" w:color="auto" w:frame="1"/>
        </w:rPr>
        <w:t> đang học hoặc mới thi đỗ vào các Trường Đại học, Cao đẳng trong, ngoài tỉnh hoặc học viên Trung cấp nghề trong tỉnh; Học lực từ trung bình khá trở lên; Hạnh kiểm tốt.</w:t>
      </w:r>
      <w:r w:rsidRPr="00AC565E">
        <w:rPr>
          <w:rFonts w:ascii="Times New Roman" w:eastAsia="Times New Roman" w:hAnsi="Times New Roman" w:cs="Times New Roman"/>
          <w:b/>
          <w:bCs/>
          <w:i/>
          <w:iCs/>
          <w:color w:val="3B3B3B"/>
          <w:sz w:val="28"/>
          <w:szCs w:val="28"/>
          <w:bdr w:val="none" w:sz="0" w:space="0" w:color="auto" w:frame="1"/>
        </w:rPr>
        <w:t> Mức học bổng: </w:t>
      </w:r>
      <w:r w:rsidRPr="00AC565E">
        <w:rPr>
          <w:rFonts w:ascii="Times New Roman" w:eastAsia="Times New Roman" w:hAnsi="Times New Roman" w:cs="Times New Roman"/>
          <w:color w:val="3B3B3B"/>
          <w:sz w:val="28"/>
          <w:szCs w:val="28"/>
          <w:bdr w:val="none" w:sz="0" w:space="0" w:color="auto" w:frame="1"/>
        </w:rPr>
        <w:t>Học bổng Nguyễn Sinh Sắc được xét cấp và trao 01 lần/năm học, cụ thể:</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13"/>
        <w:gridCol w:w="3131"/>
        <w:gridCol w:w="4098"/>
      </w:tblGrid>
      <w:tr w:rsidR="00AC565E" w:rsidRPr="00AC565E" w14:paraId="0621BAA9" w14:textId="77777777" w:rsidTr="00AC565E">
        <w:tc>
          <w:tcPr>
            <w:tcW w:w="1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C62924"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b/>
                <w:bCs/>
                <w:sz w:val="28"/>
                <w:szCs w:val="28"/>
                <w:bdr w:val="none" w:sz="0" w:space="0" w:color="auto" w:frame="1"/>
              </w:rPr>
              <w:t>Hệ</w:t>
            </w:r>
          </w:p>
        </w:tc>
        <w:tc>
          <w:tcPr>
            <w:tcW w:w="31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25548B"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b/>
                <w:bCs/>
                <w:sz w:val="28"/>
                <w:szCs w:val="28"/>
                <w:bdr w:val="none" w:sz="0" w:space="0" w:color="auto" w:frame="1"/>
              </w:rPr>
              <w:t>Mức cũ</w:t>
            </w:r>
          </w:p>
        </w:tc>
        <w:tc>
          <w:tcPr>
            <w:tcW w:w="40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294C1C"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b/>
                <w:bCs/>
                <w:sz w:val="28"/>
                <w:szCs w:val="28"/>
                <w:bdr w:val="none" w:sz="0" w:space="0" w:color="auto" w:frame="1"/>
              </w:rPr>
              <w:t>Mức mới</w:t>
            </w:r>
          </w:p>
          <w:p w14:paraId="4259B280"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(áp dụng từ ngày 05/11/2024)</w:t>
            </w:r>
          </w:p>
        </w:tc>
      </w:tr>
      <w:tr w:rsidR="00AC565E" w:rsidRPr="00AC565E" w14:paraId="2EB54AAF" w14:textId="77777777" w:rsidTr="00AC565E">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0296EC"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Đại học</w:t>
            </w:r>
          </w:p>
        </w:tc>
        <w:tc>
          <w:tcPr>
            <w:tcW w:w="3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64B80C"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7.000.000đ/suất/năm học</w:t>
            </w:r>
          </w:p>
        </w:tc>
        <w:tc>
          <w:tcPr>
            <w:tcW w:w="4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F575CE"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10.000.000đ/suất/năm học</w:t>
            </w:r>
          </w:p>
        </w:tc>
      </w:tr>
      <w:tr w:rsidR="00AC565E" w:rsidRPr="00AC565E" w14:paraId="513BF8C6" w14:textId="77777777" w:rsidTr="00AC565E">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FEF629"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Cao đẳng</w:t>
            </w:r>
          </w:p>
        </w:tc>
        <w:tc>
          <w:tcPr>
            <w:tcW w:w="3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3673E2"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5.000.000đ/suất/năm học</w:t>
            </w:r>
          </w:p>
        </w:tc>
        <w:tc>
          <w:tcPr>
            <w:tcW w:w="4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08A201"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7.000.000đ/suất/năm học</w:t>
            </w:r>
          </w:p>
        </w:tc>
      </w:tr>
      <w:tr w:rsidR="00AC565E" w:rsidRPr="00AC565E" w14:paraId="57D39DB3" w14:textId="77777777" w:rsidTr="00AC565E">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C399CD"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Trung cấp</w:t>
            </w:r>
          </w:p>
        </w:tc>
        <w:tc>
          <w:tcPr>
            <w:tcW w:w="31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F00717"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3.000.000đ/suất/năm học</w:t>
            </w:r>
          </w:p>
        </w:tc>
        <w:tc>
          <w:tcPr>
            <w:tcW w:w="4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CF158"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5.000.000đ/suất/năm học</w:t>
            </w:r>
          </w:p>
        </w:tc>
      </w:tr>
    </w:tbl>
    <w:p w14:paraId="6C55C8F8"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Đại học: 10.000.000đ/suất/năm học;</w:t>
      </w:r>
    </w:p>
    <w:p w14:paraId="320BD658"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Cao đẳng: 7.000.000đ/suất/năm học;</w:t>
      </w:r>
    </w:p>
    <w:p w14:paraId="0B2AB860"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Trung cấp: 5.000.000đ/suất/năm học</w:t>
      </w:r>
    </w:p>
    <w:p w14:paraId="00EFFC84"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Mức hỗ trợ khó khăn đột xuất bằng suất học bổng Đại học, Cao đẳng, Trung cấp (tuỳ theo cấp học, bậc học). Nếu là học sinh THPT thì hỗ trợ bằng suất học bổng của học viên trung cấp</w:t>
      </w:r>
    </w:p>
    <w:p w14:paraId="11B70BED"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i/>
          <w:iCs/>
          <w:color w:val="3B3B3B"/>
          <w:sz w:val="28"/>
          <w:szCs w:val="28"/>
          <w:bdr w:val="none" w:sz="0" w:space="0" w:color="auto" w:frame="1"/>
        </w:rPr>
        <w:t>Hồ sơ nhận học bổng (nộp lần đầu):</w:t>
      </w:r>
    </w:p>
    <w:p w14:paraId="365150E0"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Đơn xin nhận học bổng theo mẫu của HKH tỉnh có xác nhận của chính quyền địa phương cấp xã;</w:t>
      </w:r>
    </w:p>
    <w:p w14:paraId="6898752E"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Sổ hộ nghèo/hộ cận nghèo của năm hiện tại hoặc liền kề trước đó (bản photo không công chứng);</w:t>
      </w:r>
    </w:p>
    <w:p w14:paraId="3BD4591A"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lastRenderedPageBreak/>
        <w:t>- Giấy báo trúng tuyển của trường (Trung cấp Nghề/Cao đẳng/Đại học). Đối với trường hợp đang học thì có Bảng điểm của các học kỳ trước.</w:t>
      </w:r>
    </w:p>
    <w:p w14:paraId="5C6B09CB"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i/>
          <w:iCs/>
          <w:color w:val="3B3B3B"/>
          <w:sz w:val="28"/>
          <w:szCs w:val="28"/>
          <w:bdr w:val="none" w:sz="0" w:space="0" w:color="auto" w:frame="1"/>
        </w:rPr>
        <w:t>Hồ sơ tiếp tục nhận học bổng những năm tiếp theo:</w:t>
      </w:r>
    </w:p>
    <w:p w14:paraId="1163984D"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Sau mỗi năm học, sinh viên có trách nhiệm nộp Bảng điểm về cho HKH cấp huyện để chuyển HKH tỉnh tổng hợp báo cáo đơn vị tài trợ. Nếu kết quả học tập đạt loại giỏi/xuất sắc thì sẽ được nhận học bổng ở mức cao hơn:</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13"/>
        <w:gridCol w:w="3544"/>
        <w:gridCol w:w="4098"/>
      </w:tblGrid>
      <w:tr w:rsidR="00AC565E" w:rsidRPr="00AC565E" w14:paraId="19573DC1" w14:textId="77777777" w:rsidTr="00AC565E">
        <w:tc>
          <w:tcPr>
            <w:tcW w:w="1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D67680"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b/>
                <w:bCs/>
                <w:sz w:val="28"/>
                <w:szCs w:val="28"/>
                <w:bdr w:val="none" w:sz="0" w:space="0" w:color="auto" w:frame="1"/>
              </w:rPr>
              <w:t>Hệ</w:t>
            </w:r>
          </w:p>
        </w:tc>
        <w:tc>
          <w:tcPr>
            <w:tcW w:w="3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8CCCA4"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b/>
                <w:bCs/>
                <w:sz w:val="28"/>
                <w:szCs w:val="28"/>
                <w:bdr w:val="none" w:sz="0" w:space="0" w:color="auto" w:frame="1"/>
              </w:rPr>
              <w:t>Mức cũ</w:t>
            </w:r>
          </w:p>
        </w:tc>
        <w:tc>
          <w:tcPr>
            <w:tcW w:w="40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9375A4"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b/>
                <w:bCs/>
                <w:sz w:val="28"/>
                <w:szCs w:val="28"/>
                <w:bdr w:val="none" w:sz="0" w:space="0" w:color="auto" w:frame="1"/>
              </w:rPr>
              <w:t>Mức mới</w:t>
            </w:r>
          </w:p>
          <w:p w14:paraId="4A14C1AF"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(áp dụng từ ngày 05/11/2024)</w:t>
            </w:r>
          </w:p>
        </w:tc>
      </w:tr>
      <w:tr w:rsidR="00AC565E" w:rsidRPr="00AC565E" w14:paraId="33133B12" w14:textId="77777777" w:rsidTr="00AC565E">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E8CD29"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Đại học</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1372A3"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10.000.000đ/suất/năm học</w:t>
            </w:r>
          </w:p>
        </w:tc>
        <w:tc>
          <w:tcPr>
            <w:tcW w:w="4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21C1C4"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15.000.000đ/suất/năm học</w:t>
            </w:r>
          </w:p>
        </w:tc>
      </w:tr>
      <w:tr w:rsidR="00AC565E" w:rsidRPr="00AC565E" w14:paraId="176D1DD8" w14:textId="77777777" w:rsidTr="00AC565E">
        <w:tc>
          <w:tcPr>
            <w:tcW w:w="1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CDE43B" w14:textId="77777777" w:rsidR="00AC565E" w:rsidRPr="00AC565E" w:rsidRDefault="00AC565E" w:rsidP="00AC565E">
            <w:pPr>
              <w:spacing w:after="0" w:line="315" w:lineRule="atLeast"/>
              <w:jc w:val="both"/>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Cao đẳng</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B951E0"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7.000.000đ/suất/năm học</w:t>
            </w:r>
          </w:p>
        </w:tc>
        <w:tc>
          <w:tcPr>
            <w:tcW w:w="40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86B8D2" w14:textId="77777777" w:rsidR="00AC565E" w:rsidRPr="00AC565E" w:rsidRDefault="00AC565E" w:rsidP="00AC565E">
            <w:pPr>
              <w:spacing w:after="0" w:line="315" w:lineRule="atLeast"/>
              <w:jc w:val="center"/>
              <w:textAlignment w:val="top"/>
              <w:rPr>
                <w:rFonts w:ascii="Times New Roman" w:eastAsia="Times New Roman" w:hAnsi="Times New Roman" w:cs="Times New Roman"/>
                <w:sz w:val="24"/>
                <w:szCs w:val="24"/>
              </w:rPr>
            </w:pPr>
            <w:r w:rsidRPr="00AC565E">
              <w:rPr>
                <w:rFonts w:ascii="Times New Roman" w:eastAsia="Times New Roman" w:hAnsi="Times New Roman" w:cs="Times New Roman"/>
                <w:sz w:val="28"/>
                <w:szCs w:val="28"/>
                <w:bdr w:val="none" w:sz="0" w:space="0" w:color="auto" w:frame="1"/>
              </w:rPr>
              <w:t>10.000.000đ/suất/năm học</w:t>
            </w:r>
          </w:p>
        </w:tc>
      </w:tr>
    </w:tbl>
    <w:p w14:paraId="501E9ADE"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Các trường hợp còn lại, hàng năm vẫn gửi Bảng điểm về cho HKH cấp huyện để chuyển HKH tỉnh theo quy định.</w:t>
      </w:r>
    </w:p>
    <w:p w14:paraId="412827B7"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color w:val="3B3B3B"/>
          <w:sz w:val="28"/>
          <w:szCs w:val="28"/>
          <w:bdr w:val="none" w:sz="0" w:space="0" w:color="auto" w:frame="1"/>
        </w:rPr>
        <w:t>Về Học bổng Gương sáng hiếu học:</w:t>
      </w:r>
      <w:r w:rsidRPr="00AC565E">
        <w:rPr>
          <w:rFonts w:ascii="Times New Roman" w:eastAsia="Times New Roman" w:hAnsi="Times New Roman" w:cs="Times New Roman"/>
          <w:b/>
          <w:bCs/>
          <w:i/>
          <w:iCs/>
          <w:color w:val="3B3B3B"/>
          <w:sz w:val="28"/>
          <w:szCs w:val="28"/>
          <w:bdr w:val="none" w:sz="0" w:space="0" w:color="auto" w:frame="1"/>
        </w:rPr>
        <w:t> </w:t>
      </w:r>
      <w:r w:rsidRPr="00AC565E">
        <w:rPr>
          <w:rFonts w:ascii="Times New Roman" w:eastAsia="Times New Roman" w:hAnsi="Times New Roman" w:cs="Times New Roman"/>
          <w:color w:val="3B3B3B"/>
          <w:sz w:val="28"/>
          <w:szCs w:val="28"/>
          <w:bdr w:val="none" w:sz="0" w:space="0" w:color="auto" w:frame="1"/>
        </w:rPr>
        <w:t>Đối tượng nhận học bổng: là sinh viên có hộ khẩu tại Đồng Tháp trúng tuyển Trung cấp trong Tỉnh; Cao Đẳng, Đại học trong và ngoài Tỉnh thuộc diện gia đình có hoàn cảnh đặc biệt khó khăn đến mức sinh viên có nguy cơ bỏ học. Ngoài ra, có thể xem xét một số trường hợp đặc biệt đối với học sinh THPT hoặc theo yêu cầu của đơn vị tài trợ</w:t>
      </w:r>
    </w:p>
    <w:p w14:paraId="3C8874FE"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i/>
          <w:iCs/>
          <w:color w:val="3B3B3B"/>
          <w:sz w:val="28"/>
          <w:szCs w:val="28"/>
          <w:bdr w:val="none" w:sz="0" w:space="0" w:color="auto" w:frame="1"/>
        </w:rPr>
        <w:t>Hồ sơ học bổng gồm:</w:t>
      </w:r>
    </w:p>
    <w:p w14:paraId="59FD021F"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Đơn xin nhận học bổng theo mẫu của HKH tỉnh có xác nhận của UBND cấp xã, trong đó cần nêu rõ khó khăn của gia đình và sự phấn đấu; kết quả học tập và rèn luyện của bản thân sinh viên;</w:t>
      </w:r>
    </w:p>
    <w:p w14:paraId="5A4754E6"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Giấy xác nhận trúng tuyển của trường (Trung cấp/Cao đẳng/Đại học). Đối với trường hợp đang học thì có Bảng điểm của các học kỳ trước;</w:t>
      </w:r>
    </w:p>
    <w:p w14:paraId="7D90DC22"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- 02 ảnh chụp nhà của sinh viên (phía trước và trong nhà);</w:t>
      </w:r>
    </w:p>
    <w:p w14:paraId="395A09BA"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Công văn đề nghị của HKH cấp huyện về hoàn cảnh gia đình và hạnh kiểm của sinh viên.</w:t>
      </w:r>
    </w:p>
    <w:p w14:paraId="4E33E455"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i/>
          <w:iCs/>
          <w:color w:val="3B3B3B"/>
          <w:sz w:val="28"/>
          <w:szCs w:val="28"/>
          <w:bdr w:val="none" w:sz="0" w:space="0" w:color="auto" w:frame="1"/>
        </w:rPr>
        <w:t>Mức học bổng:</w:t>
      </w:r>
    </w:p>
    <w:p w14:paraId="37CB80D3"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Nhà tài trợ chính số tiền là 12.000.000đ;</w:t>
      </w:r>
    </w:p>
    <w:p w14:paraId="1519E05E"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 Địa phương, đơn vị có sinh viên tham gia chương trình có trách nhiệm vận động thêm các ban ngành, đoàn thể, các doanh nghiệp, mạnh thường quân trên địa bàn (phấn đấu số tiền vận động tương đương với nhà tài trợ chính trở lên).</w:t>
      </w:r>
    </w:p>
    <w:p w14:paraId="1CC13517"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color w:val="222222"/>
          <w:sz w:val="28"/>
          <w:szCs w:val="28"/>
          <w:bdr w:val="none" w:sz="0" w:space="0" w:color="auto" w:frame="1"/>
        </w:rPr>
        <w:t>Về Chương trinh Gương sáng các mô hình học tập tiêu biểu </w:t>
      </w:r>
      <w:r w:rsidRPr="00AC565E">
        <w:rPr>
          <w:rFonts w:ascii="Times New Roman" w:eastAsia="Times New Roman" w:hAnsi="Times New Roman" w:cs="Times New Roman"/>
          <w:b/>
          <w:bCs/>
          <w:color w:val="3B3B3B"/>
          <w:sz w:val="28"/>
          <w:szCs w:val="28"/>
          <w:bdr w:val="none" w:sz="0" w:space="0" w:color="auto" w:frame="1"/>
        </w:rPr>
        <w:t>do Công ty Xăng đầu Petrolimex Đồng Tháp tài trợ:</w:t>
      </w:r>
      <w:r w:rsidRPr="00AC565E">
        <w:rPr>
          <w:rFonts w:ascii="Times New Roman" w:eastAsia="Times New Roman" w:hAnsi="Times New Roman" w:cs="Times New Roman"/>
          <w:b/>
          <w:bCs/>
          <w:i/>
          <w:iCs/>
          <w:color w:val="3B3B3B"/>
          <w:sz w:val="28"/>
          <w:szCs w:val="28"/>
          <w:bdr w:val="none" w:sz="0" w:space="0" w:color="auto" w:frame="1"/>
        </w:rPr>
        <w:t> Đối tượng của chương trình là </w:t>
      </w:r>
      <w:r w:rsidRPr="00AC565E">
        <w:rPr>
          <w:rFonts w:ascii="Times New Roman" w:eastAsia="Times New Roman" w:hAnsi="Times New Roman" w:cs="Times New Roman"/>
          <w:i/>
          <w:iCs/>
          <w:color w:val="3B3B3B"/>
          <w:sz w:val="28"/>
          <w:szCs w:val="28"/>
          <w:bdr w:val="none" w:sz="0" w:space="0" w:color="auto" w:frame="1"/>
        </w:rPr>
        <w:t>Công dân học tập/Gia đình học tập/Dòng họ học tập/Tổ Nhân dân tự quản/Cộng đồng học tập/Đơn vị học tập tiêu biểu đạt các tiêu chí theo quy định 05 năm liền, được tặng Giấy khen từ cấp huyện trở lên.</w:t>
      </w:r>
    </w:p>
    <w:p w14:paraId="3B1E7D03"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i/>
          <w:iCs/>
          <w:color w:val="3B3B3B"/>
          <w:sz w:val="28"/>
          <w:szCs w:val="28"/>
          <w:bdr w:val="none" w:sz="0" w:space="0" w:color="auto" w:frame="1"/>
        </w:rPr>
        <w:t>Hồ sơ gồm:</w:t>
      </w:r>
      <w:r w:rsidRPr="00AC565E">
        <w:rPr>
          <w:rFonts w:ascii="Times New Roman" w:eastAsia="Times New Roman" w:hAnsi="Times New Roman" w:cs="Times New Roman"/>
          <w:color w:val="3B3B3B"/>
          <w:sz w:val="28"/>
          <w:szCs w:val="28"/>
          <w:bdr w:val="none" w:sz="0" w:space="0" w:color="auto" w:frame="1"/>
        </w:rPr>
        <w:t> Bảng báo cáo kết quả hoạt động trong năm và những năm liền kề trước đó; Công văn đề nghị của Hội Khuyến học cấp huyện.</w:t>
      </w:r>
    </w:p>
    <w:p w14:paraId="1BAEA4C6"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i/>
          <w:iCs/>
          <w:color w:val="3B3B3B"/>
          <w:sz w:val="28"/>
          <w:szCs w:val="28"/>
          <w:bdr w:val="none" w:sz="0" w:space="0" w:color="auto" w:frame="1"/>
        </w:rPr>
        <w:lastRenderedPageBreak/>
        <w:t>Mức quà tặng:</w:t>
      </w:r>
      <w:r w:rsidRPr="00AC565E">
        <w:rPr>
          <w:rFonts w:ascii="Times New Roman" w:eastAsia="Times New Roman" w:hAnsi="Times New Roman" w:cs="Times New Roman"/>
          <w:color w:val="3B3B3B"/>
          <w:sz w:val="28"/>
          <w:szCs w:val="28"/>
          <w:bdr w:val="none" w:sz="0" w:space="0" w:color="auto" w:frame="1"/>
        </w:rPr>
        <w:t> Bảng vàng vinh danh của HKH Tỉnh; 05 triệu đồng/chương trình (của nhà tài trợ); Tập/sách kèm theo (tùy trường hợp); Quà của chính quyền địa phương…</w:t>
      </w:r>
    </w:p>
    <w:p w14:paraId="15F3FAC0" w14:textId="77777777" w:rsidR="00AC565E" w:rsidRPr="00AC565E" w:rsidRDefault="00AC565E" w:rsidP="00AC565E">
      <w:pPr>
        <w:spacing w:after="0" w:line="315" w:lineRule="atLeast"/>
        <w:jc w:val="both"/>
        <w:textAlignment w:val="top"/>
        <w:rPr>
          <w:rFonts w:ascii="Arial" w:eastAsia="Times New Roman" w:hAnsi="Arial" w:cs="Arial"/>
          <w:color w:val="3B3B3B"/>
          <w:sz w:val="21"/>
          <w:szCs w:val="21"/>
        </w:rPr>
      </w:pPr>
      <w:r w:rsidRPr="00AC565E">
        <w:rPr>
          <w:rFonts w:ascii="Times New Roman" w:eastAsia="Times New Roman" w:hAnsi="Times New Roman" w:cs="Times New Roman"/>
          <w:b/>
          <w:bCs/>
          <w:color w:val="3B3B3B"/>
          <w:sz w:val="28"/>
          <w:szCs w:val="28"/>
          <w:bdr w:val="none" w:sz="0" w:space="0" w:color="auto" w:frame="1"/>
        </w:rPr>
        <w:t>Về hỗ trợ tháng khuyến học: </w:t>
      </w:r>
      <w:r w:rsidRPr="00AC565E">
        <w:rPr>
          <w:rFonts w:ascii="Times New Roman" w:eastAsia="Times New Roman" w:hAnsi="Times New Roman" w:cs="Times New Roman"/>
          <w:color w:val="3B3B3B"/>
          <w:sz w:val="28"/>
          <w:szCs w:val="28"/>
          <w:bdr w:val="none" w:sz="0" w:space="0" w:color="auto" w:frame="1"/>
        </w:rPr>
        <w:t>Hằng năm Quỹ Khuyến học NSS phối hợp với các đơn vị hỗ trợ Tháng Khuyến học tại một số xã, phường, thị trấn tổ chức điểm của cấp huyện; các đơn vị được hỗ trợ vận động các tổ chức, doanh nghiệp tại địa phương ủng hộ thêm từ mức bằng hoặc lớn hơn số tiền, hiện vật của Tỉnh hỗ trợ. Sau Tháng khuyến học các đơn vị được hỗ trợ báo cáo nhanh kết quả về HKH Tỉnh tổng hợp báo cáo lãnh đạo Tỉnh theo quy định.</w:t>
      </w:r>
    </w:p>
    <w:p w14:paraId="4BE761C7" w14:textId="77777777" w:rsidR="00AC565E" w:rsidRPr="00AC565E" w:rsidRDefault="00AC565E" w:rsidP="00AC565E">
      <w:pPr>
        <w:spacing w:after="0" w:line="315" w:lineRule="atLeast"/>
        <w:jc w:val="right"/>
        <w:textAlignment w:val="top"/>
        <w:rPr>
          <w:rFonts w:ascii="Arial" w:eastAsia="Times New Roman" w:hAnsi="Arial" w:cs="Arial"/>
          <w:color w:val="3B3B3B"/>
          <w:sz w:val="21"/>
          <w:szCs w:val="21"/>
        </w:rPr>
      </w:pPr>
      <w:r w:rsidRPr="00AC565E">
        <w:rPr>
          <w:rFonts w:ascii="Times New Roman" w:eastAsia="Times New Roman" w:hAnsi="Times New Roman" w:cs="Times New Roman"/>
          <w:color w:val="3B3B3B"/>
          <w:sz w:val="28"/>
          <w:szCs w:val="28"/>
          <w:bdr w:val="none" w:sz="0" w:space="0" w:color="auto" w:frame="1"/>
        </w:rPr>
        <w:t>VP HKH Tỉnh</w:t>
      </w:r>
    </w:p>
    <w:p w14:paraId="08399741" w14:textId="77777777" w:rsidR="00AC565E" w:rsidRDefault="00AC565E"/>
    <w:sectPr w:rsidR="00AC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5E"/>
    <w:rsid w:val="00AC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6AE3"/>
  <w15:chartTrackingRefBased/>
  <w15:docId w15:val="{C2E97DB2-0D5A-4A71-92A6-690A98C4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56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56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C56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60123">
      <w:bodyDiv w:val="1"/>
      <w:marLeft w:val="0"/>
      <w:marRight w:val="0"/>
      <w:marTop w:val="0"/>
      <w:marBottom w:val="0"/>
      <w:divBdr>
        <w:top w:val="none" w:sz="0" w:space="0" w:color="auto"/>
        <w:left w:val="none" w:sz="0" w:space="0" w:color="auto"/>
        <w:bottom w:val="none" w:sz="0" w:space="0" w:color="auto"/>
        <w:right w:val="none" w:sz="0" w:space="0" w:color="auto"/>
      </w:divBdr>
      <w:divsChild>
        <w:div w:id="1365867491">
          <w:marLeft w:val="0"/>
          <w:marRight w:val="0"/>
          <w:marTop w:val="0"/>
          <w:marBottom w:val="0"/>
          <w:divBdr>
            <w:top w:val="none" w:sz="0" w:space="0" w:color="auto"/>
            <w:left w:val="none" w:sz="0" w:space="0" w:color="auto"/>
            <w:bottom w:val="none" w:sz="0" w:space="0" w:color="auto"/>
            <w:right w:val="none" w:sz="0" w:space="0" w:color="auto"/>
          </w:divBdr>
        </w:div>
        <w:div w:id="30909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CTSV_01</dc:creator>
  <cp:keywords/>
  <dc:description/>
  <cp:lastModifiedBy>Phong CTSV_01</cp:lastModifiedBy>
  <cp:revision>1</cp:revision>
  <dcterms:created xsi:type="dcterms:W3CDTF">2025-08-01T01:01:00Z</dcterms:created>
  <dcterms:modified xsi:type="dcterms:W3CDTF">2025-08-01T01:02:00Z</dcterms:modified>
</cp:coreProperties>
</file>